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4D3" w14:textId="5C81F81A" w:rsidR="0076385D" w:rsidRPr="001B60B9" w:rsidRDefault="0076385D" w:rsidP="008D7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PROPOSTA – PROAP/2022</w:t>
      </w:r>
    </w:p>
    <w:p w14:paraId="332DC75B" w14:textId="0117E633" w:rsidR="0076385D" w:rsidRPr="001B60B9" w:rsidRDefault="0076385D" w:rsidP="008D7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CE6E375" w14:textId="7028D9E9" w:rsidR="0076385D" w:rsidRPr="001B60B9" w:rsidRDefault="0076385D" w:rsidP="008D7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B6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DE AUTOAVALIAÇÃO (CAA)/PPGD </w:t>
      </w:r>
    </w:p>
    <w:p w14:paraId="4609BF34" w14:textId="77777777" w:rsidR="0076385D" w:rsidRDefault="0076385D" w:rsidP="008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52DBE0" w14:textId="77777777" w:rsidR="0076385D" w:rsidRDefault="0076385D" w:rsidP="008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8ADD8E" w14:textId="09404DE6" w:rsidR="00322F33" w:rsidRPr="00322F33" w:rsidRDefault="00322F33" w:rsidP="008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Disponibilizado o valor do PROAP</w:t>
      </w:r>
      <w:r w:rsidR="00552AF8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746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185D14" w:rsidRPr="00824602">
        <w:rPr>
          <w:rFonts w:ascii="Times New Roman" w:hAnsi="Times New Roman" w:cs="Times New Roman"/>
          <w:sz w:val="24"/>
          <w:szCs w:val="24"/>
        </w:rPr>
        <w:t>69.738,00</w:t>
      </w: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186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de </w:t>
      </w:r>
      <w:proofErr w:type="spellStart"/>
      <w:r w:rsidR="00186901">
        <w:rPr>
          <w:rFonts w:ascii="Times New Roman" w:eastAsia="Times New Roman" w:hAnsi="Times New Roman" w:cs="Times New Roman"/>
          <w:sz w:val="24"/>
          <w:szCs w:val="24"/>
          <w:lang w:eastAsia="pt-BR"/>
        </w:rPr>
        <w:t>auto-avaliação</w:t>
      </w:r>
      <w:proofErr w:type="spellEnd"/>
      <w:r w:rsidR="001869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delibera</w:t>
      </w: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forma de distribuição entre professores.</w:t>
      </w:r>
      <w:r w:rsidR="005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Considerou-se que o valor do PROAP nos últimos 2 anos não foram integralmente utilizados ainda que disponibilizados </w:t>
      </w:r>
      <w:r w:rsidR="008D71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forma de auxílio ao pesquisador por edital PROAP único e, por isso, direciona-se à outras rubricas que valorizarão os esforços dos pesquisadores e pesquisadoras do PPGD de modo e a elevar a avaliação do Programa na </w:t>
      </w:r>
      <w:proofErr w:type="gramStart"/>
      <w:r w:rsidR="008D7127">
        <w:rPr>
          <w:rFonts w:ascii="Times New Roman" w:eastAsia="Times New Roman" w:hAnsi="Times New Roman" w:cs="Times New Roman"/>
          <w:sz w:val="24"/>
          <w:szCs w:val="24"/>
          <w:lang w:eastAsia="pt-BR"/>
        </w:rPr>
        <w:t>CAPES .</w:t>
      </w:r>
      <w:proofErr w:type="gramEnd"/>
    </w:p>
    <w:p w14:paraId="1D628002" w14:textId="77777777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58406" w14:textId="3D00F062" w:rsidR="00322F33" w:rsidRPr="00322F33" w:rsidRDefault="00746B16" w:rsidP="0018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seleção dos pedidos, serão </w:t>
      </w:r>
      <w:r w:rsidR="00322F33"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r w:rsidR="00322F33"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mesmos critérios usados pela Comissão pedagógica que estão presentes do Regimento do PPGD que, por sua vez, estão em consonância com os critérios CAPES de avaliação do programa. </w:t>
      </w:r>
      <w:r w:rsidR="00322F33" w:rsidRPr="00322F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Sendo assim, a pessoa requerente deverá preencher os seguintes requisitos</w:t>
      </w:r>
      <w:r w:rsidR="002F19A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de priorização</w:t>
      </w:r>
      <w:r w:rsidR="00CF36B2" w:rsidRPr="00CD149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, além do pedido devidamente instruído de comprovante de inscrição/participação no evento, e/ou </w:t>
      </w:r>
      <w:proofErr w:type="spellStart"/>
      <w:r w:rsidR="00CF36B2" w:rsidRPr="00CD149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paper</w:t>
      </w:r>
      <w:proofErr w:type="spellEnd"/>
      <w:r w:rsidR="00CF36B2" w:rsidRPr="00CD149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a ser apresentado, e/ou convite formal da instituição</w:t>
      </w:r>
      <w:r w:rsidR="00322F33" w:rsidRPr="00322F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:</w:t>
      </w:r>
    </w:p>
    <w:p w14:paraId="2836B5F8" w14:textId="77777777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EFB220" w14:textId="60738DA9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  Integrar o grupo de pesquisa consolidado e certificado pelo </w:t>
      </w:r>
      <w:r w:rsidR="00567C2B"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CNPQ.</w:t>
      </w:r>
    </w:p>
    <w:p w14:paraId="679156F4" w14:textId="357E94AE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2. Possuir </w:t>
      </w:r>
      <w:r w:rsidR="00567C2B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pesquisa aprovado na </w:t>
      </w:r>
      <w:proofErr w:type="spellStart"/>
      <w:r w:rsidR="00567C2B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ró-reitoria</w:t>
      </w:r>
      <w:proofErr w:type="spellEnd"/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pesquisa ou em órgãos de fomento, com resultados/produtos resultantes publicados em decorrência do projeto.</w:t>
      </w:r>
    </w:p>
    <w:p w14:paraId="4DC1CCF8" w14:textId="591AB434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3. Ter publicações em periódicos bem qualificados na CAPES</w:t>
      </w:r>
      <w:r w:rsidR="00185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185D14">
        <w:rPr>
          <w:rFonts w:ascii="Times New Roman" w:eastAsia="Times New Roman" w:hAnsi="Times New Roman" w:cs="Times New Roman"/>
          <w:sz w:val="24"/>
          <w:szCs w:val="24"/>
          <w:lang w:eastAsia="pt-BR"/>
        </w:rPr>
        <w:t>qualis</w:t>
      </w:r>
      <w:proofErr w:type="spellEnd"/>
      <w:r w:rsidR="00185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ou B1), nos últimos 2 anos</w:t>
      </w: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EE12960" w14:textId="70801D68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4. Estar inscrita no ORCID</w:t>
      </w:r>
      <w:r w:rsidR="00185D1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EFD1534" w14:textId="00935B9E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2F33">
        <w:rPr>
          <w:rFonts w:ascii="Times New Roman" w:eastAsia="Times New Roman" w:hAnsi="Times New Roman" w:cs="Times New Roman"/>
          <w:sz w:val="24"/>
          <w:szCs w:val="24"/>
          <w:lang w:eastAsia="pt-BR"/>
        </w:rPr>
        <w:t>5. O pedido enquadrar-se nas prioridades apresentadas pela PROPG</w:t>
      </w:r>
      <w:r w:rsidR="00185D14">
        <w:rPr>
          <w:rFonts w:ascii="Times New Roman" w:eastAsia="Times New Roman" w:hAnsi="Times New Roman" w:cs="Times New Roman"/>
          <w:sz w:val="24"/>
          <w:szCs w:val="24"/>
          <w:lang w:eastAsia="pt-BR"/>
        </w:rPr>
        <w:t>, abaixo evidenciadas:</w:t>
      </w:r>
    </w:p>
    <w:p w14:paraId="0E2330C1" w14:textId="77777777" w:rsidR="00322F33" w:rsidRP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25C9EB" w14:textId="7F33A011" w:rsidR="00322F33" w:rsidRDefault="00322F33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58BE74" w14:textId="01E2E3BE" w:rsidR="00EC077E" w:rsidRDefault="00EC077E" w:rsidP="00EC077E">
      <w:pPr>
        <w:jc w:val="center"/>
        <w:rPr>
          <w:rFonts w:ascii="Trebuchet MS" w:hAnsi="Trebuchet MS"/>
          <w:sz w:val="28"/>
          <w:szCs w:val="28"/>
        </w:rPr>
      </w:pPr>
      <w:r w:rsidRPr="00CE2A5F">
        <w:rPr>
          <w:rFonts w:ascii="Trebuchet MS" w:hAnsi="Trebuchet MS"/>
          <w:sz w:val="28"/>
          <w:szCs w:val="28"/>
        </w:rPr>
        <w:t>PREVISÃO ORÇAMENTÁRIA (</w:t>
      </w:r>
      <w:r w:rsidR="00552AF8">
        <w:rPr>
          <w:rFonts w:ascii="Trebuchet MS" w:hAnsi="Trebuchet MS"/>
          <w:sz w:val="28"/>
          <w:szCs w:val="28"/>
        </w:rPr>
        <w:t>PODERÁ HAVER REMANEJAMENTO NAS RUBRICAS, CONFORME OBSERVE-SE SOBRAS NUMAS E AUSÊNCIAS NOUTRAS, À EXCEÇÃO DO EDITAL ÚNICO QUE DEPENDE DA PROPG</w:t>
      </w:r>
      <w:r w:rsidRPr="00CE2A5F">
        <w:rPr>
          <w:rFonts w:ascii="Trebuchet MS" w:hAnsi="Trebuchet MS"/>
          <w:sz w:val="28"/>
          <w:szCs w:val="28"/>
        </w:rPr>
        <w:t>)</w:t>
      </w:r>
    </w:p>
    <w:p w14:paraId="548F5802" w14:textId="77777777" w:rsidR="00EC077E" w:rsidRDefault="00EC077E" w:rsidP="00EC077E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Tabelacomgrade"/>
        <w:tblW w:w="7258" w:type="dxa"/>
        <w:jc w:val="center"/>
        <w:tblLook w:val="04A0" w:firstRow="1" w:lastRow="0" w:firstColumn="1" w:lastColumn="0" w:noHBand="0" w:noVBand="1"/>
      </w:tblPr>
      <w:tblGrid>
        <w:gridCol w:w="3969"/>
        <w:gridCol w:w="3289"/>
      </w:tblGrid>
      <w:tr w:rsidR="00EC077E" w14:paraId="580AB91D" w14:textId="77777777" w:rsidTr="000F1E42">
        <w:trPr>
          <w:trHeight w:val="600"/>
          <w:jc w:val="center"/>
        </w:trPr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A3025D6" w14:textId="77777777" w:rsidR="00EC077E" w:rsidRPr="008E3321" w:rsidRDefault="00EC077E" w:rsidP="000F1E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Elementos</w:t>
            </w:r>
            <w:r w:rsidRPr="008E3321">
              <w:rPr>
                <w:rFonts w:ascii="Trebuchet MS" w:hAnsi="Trebuchet MS"/>
                <w:b/>
                <w:sz w:val="24"/>
                <w:szCs w:val="24"/>
              </w:rPr>
              <w:t xml:space="preserve"> de Despesa (código)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14:paraId="442845CE" w14:textId="77777777" w:rsidR="00EC077E" w:rsidRPr="008E3321" w:rsidRDefault="00EC077E" w:rsidP="000F1E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E3321">
              <w:rPr>
                <w:rFonts w:ascii="Trebuchet MS" w:hAnsi="Trebuchet MS"/>
                <w:b/>
                <w:sz w:val="24"/>
                <w:szCs w:val="24"/>
              </w:rPr>
              <w:t>VALOR (R$ 1,00)</w:t>
            </w:r>
          </w:p>
        </w:tc>
      </w:tr>
      <w:tr w:rsidR="00EC077E" w14:paraId="78A8172A" w14:textId="77777777" w:rsidTr="000F1E42">
        <w:trPr>
          <w:jc w:val="center"/>
        </w:trPr>
        <w:tc>
          <w:tcPr>
            <w:tcW w:w="3969" w:type="dxa"/>
          </w:tcPr>
          <w:p w14:paraId="2E6C801A" w14:textId="7F49BDEC" w:rsidR="00EC077E" w:rsidRDefault="00EC077E" w:rsidP="000F1E4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3390.14</w:t>
            </w:r>
            <w:r w:rsidR="00D14695">
              <w:rPr>
                <w:rFonts w:ascii="Trebuchet MS" w:hAnsi="Trebuchet MS"/>
                <w:sz w:val="28"/>
                <w:szCs w:val="28"/>
              </w:rPr>
              <w:t>.14</w:t>
            </w:r>
          </w:p>
        </w:tc>
        <w:tc>
          <w:tcPr>
            <w:tcW w:w="3289" w:type="dxa"/>
            <w:vAlign w:val="center"/>
          </w:tcPr>
          <w:p w14:paraId="137B34DF" w14:textId="78F004C2" w:rsidR="00EC077E" w:rsidRDefault="00EC077E" w:rsidP="000F1E42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  <w:r w:rsidR="00A17F4B">
              <w:rPr>
                <w:rFonts w:ascii="Trebuchet MS" w:hAnsi="Trebuchet MS"/>
                <w:sz w:val="28"/>
                <w:szCs w:val="28"/>
              </w:rPr>
              <w:t>5</w:t>
            </w:r>
            <w:r>
              <w:rPr>
                <w:rFonts w:ascii="Trebuchet MS" w:hAnsi="Trebuchet MS"/>
                <w:sz w:val="28"/>
                <w:szCs w:val="28"/>
              </w:rPr>
              <w:t>.000,00</w:t>
            </w:r>
          </w:p>
        </w:tc>
      </w:tr>
      <w:tr w:rsidR="00D14695" w14:paraId="45E864AD" w14:textId="77777777" w:rsidTr="000F1E42">
        <w:trPr>
          <w:jc w:val="center"/>
        </w:trPr>
        <w:tc>
          <w:tcPr>
            <w:tcW w:w="3969" w:type="dxa"/>
          </w:tcPr>
          <w:p w14:paraId="1969F08F" w14:textId="6B8AA557" w:rsidR="001B78B8" w:rsidRDefault="00D14695" w:rsidP="001B78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3390.14.16</w:t>
            </w:r>
          </w:p>
        </w:tc>
        <w:tc>
          <w:tcPr>
            <w:tcW w:w="3289" w:type="dxa"/>
            <w:vAlign w:val="center"/>
          </w:tcPr>
          <w:p w14:paraId="103E6D00" w14:textId="6898F996" w:rsidR="00D14695" w:rsidRDefault="00A17F4B" w:rsidP="000F1E42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</w:t>
            </w:r>
            <w:r w:rsidR="00D14695">
              <w:rPr>
                <w:rFonts w:ascii="Trebuchet MS" w:hAnsi="Trebuchet MS"/>
                <w:sz w:val="28"/>
                <w:szCs w:val="28"/>
              </w:rPr>
              <w:t>.000,00</w:t>
            </w:r>
          </w:p>
        </w:tc>
      </w:tr>
      <w:tr w:rsidR="00EC077E" w14:paraId="6ABA27BF" w14:textId="77777777" w:rsidTr="000F1E42">
        <w:trPr>
          <w:jc w:val="center"/>
        </w:trPr>
        <w:tc>
          <w:tcPr>
            <w:tcW w:w="3969" w:type="dxa"/>
          </w:tcPr>
          <w:p w14:paraId="638DA363" w14:textId="77777777" w:rsidR="00EC077E" w:rsidRDefault="00EC077E" w:rsidP="000F1E4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3390.18</w:t>
            </w:r>
          </w:p>
        </w:tc>
        <w:tc>
          <w:tcPr>
            <w:tcW w:w="3289" w:type="dxa"/>
            <w:vAlign w:val="center"/>
          </w:tcPr>
          <w:p w14:paraId="4BC1F3FE" w14:textId="55E3BF82" w:rsidR="00EC077E" w:rsidRDefault="00EC077E" w:rsidP="000F1E42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D14695">
              <w:rPr>
                <w:rFonts w:ascii="Trebuchet MS" w:hAnsi="Trebuchet MS"/>
                <w:sz w:val="28"/>
                <w:szCs w:val="28"/>
              </w:rPr>
              <w:t xml:space="preserve">R$ </w:t>
            </w:r>
            <w:r w:rsidR="00D14695">
              <w:rPr>
                <w:rFonts w:ascii="Trebuchet MS" w:hAnsi="Trebuchet MS"/>
                <w:sz w:val="28"/>
                <w:szCs w:val="28"/>
              </w:rPr>
              <w:t>4</w:t>
            </w:r>
            <w:r w:rsidRPr="00D14695">
              <w:rPr>
                <w:rFonts w:ascii="Trebuchet MS" w:hAnsi="Trebuchet MS"/>
                <w:sz w:val="28"/>
                <w:szCs w:val="28"/>
              </w:rPr>
              <w:t>.</w:t>
            </w:r>
            <w:r w:rsidR="00D14695">
              <w:rPr>
                <w:rFonts w:ascii="Trebuchet MS" w:hAnsi="Trebuchet MS"/>
                <w:sz w:val="28"/>
                <w:szCs w:val="28"/>
              </w:rPr>
              <w:t>738,</w:t>
            </w:r>
            <w:r w:rsidRPr="00D14695">
              <w:rPr>
                <w:rFonts w:ascii="Trebuchet MS" w:hAnsi="Trebuchet MS"/>
                <w:sz w:val="28"/>
                <w:szCs w:val="28"/>
              </w:rPr>
              <w:t>00</w:t>
            </w:r>
          </w:p>
        </w:tc>
      </w:tr>
      <w:tr w:rsidR="00EC077E" w14:paraId="1CD2AFD3" w14:textId="77777777" w:rsidTr="000F1E42">
        <w:trPr>
          <w:jc w:val="center"/>
        </w:trPr>
        <w:tc>
          <w:tcPr>
            <w:tcW w:w="3969" w:type="dxa"/>
          </w:tcPr>
          <w:p w14:paraId="0293A760" w14:textId="77777777" w:rsidR="00EC077E" w:rsidRDefault="00EC077E" w:rsidP="000F1E4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3390.20 (EDITAL ÚNICO)</w:t>
            </w:r>
          </w:p>
        </w:tc>
        <w:tc>
          <w:tcPr>
            <w:tcW w:w="3289" w:type="dxa"/>
            <w:vAlign w:val="center"/>
          </w:tcPr>
          <w:p w14:paraId="7588D14F" w14:textId="5E7C9A91" w:rsidR="00EC077E" w:rsidRDefault="00EC077E" w:rsidP="000F1E42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D14695">
              <w:rPr>
                <w:rFonts w:ascii="Trebuchet MS" w:hAnsi="Trebuchet MS"/>
                <w:sz w:val="28"/>
                <w:szCs w:val="28"/>
              </w:rPr>
              <w:t>R$ 1</w:t>
            </w:r>
            <w:r w:rsidR="001B60B9">
              <w:rPr>
                <w:rFonts w:ascii="Trebuchet MS" w:hAnsi="Trebuchet MS"/>
                <w:sz w:val="28"/>
                <w:szCs w:val="28"/>
              </w:rPr>
              <w:t>0</w:t>
            </w:r>
            <w:r w:rsidRPr="00D14695">
              <w:rPr>
                <w:rFonts w:ascii="Trebuchet MS" w:hAnsi="Trebuchet MS"/>
                <w:sz w:val="28"/>
                <w:szCs w:val="28"/>
              </w:rPr>
              <w:t>.000,00</w:t>
            </w:r>
          </w:p>
        </w:tc>
      </w:tr>
      <w:tr w:rsidR="00EC077E" w14:paraId="0F7FECB1" w14:textId="77777777" w:rsidTr="000F1E42">
        <w:trPr>
          <w:jc w:val="center"/>
        </w:trPr>
        <w:tc>
          <w:tcPr>
            <w:tcW w:w="3969" w:type="dxa"/>
          </w:tcPr>
          <w:p w14:paraId="11BAE6A6" w14:textId="622792AB" w:rsidR="00EC077E" w:rsidRDefault="00EC077E" w:rsidP="000F1E4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3390.33</w:t>
            </w:r>
            <w:r w:rsidR="001B78B8">
              <w:rPr>
                <w:rFonts w:ascii="Trebuchet MS" w:hAnsi="Trebuchet MS"/>
                <w:sz w:val="28"/>
                <w:szCs w:val="28"/>
              </w:rPr>
              <w:t>.01</w:t>
            </w:r>
          </w:p>
        </w:tc>
        <w:tc>
          <w:tcPr>
            <w:tcW w:w="3289" w:type="dxa"/>
            <w:vAlign w:val="center"/>
          </w:tcPr>
          <w:p w14:paraId="4A2F3137" w14:textId="105125C6" w:rsidR="00EC077E" w:rsidRPr="00D14695" w:rsidRDefault="00D14695" w:rsidP="00D14695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D14695">
              <w:rPr>
                <w:rFonts w:ascii="Trebuchet MS" w:hAnsi="Trebuchet MS"/>
                <w:sz w:val="28"/>
                <w:szCs w:val="28"/>
              </w:rPr>
              <w:t xml:space="preserve">                 </w:t>
            </w:r>
            <w:r w:rsidR="00EC077E" w:rsidRPr="00D14695">
              <w:rPr>
                <w:rFonts w:ascii="Trebuchet MS" w:hAnsi="Trebuchet MS"/>
                <w:sz w:val="28"/>
                <w:szCs w:val="28"/>
              </w:rPr>
              <w:t>R$ 1</w:t>
            </w:r>
            <w:r w:rsidR="00A17F4B">
              <w:rPr>
                <w:rFonts w:ascii="Trebuchet MS" w:hAnsi="Trebuchet MS"/>
                <w:sz w:val="28"/>
                <w:szCs w:val="28"/>
              </w:rPr>
              <w:t>5</w:t>
            </w:r>
            <w:r w:rsidR="00EC077E" w:rsidRPr="00D14695">
              <w:rPr>
                <w:rFonts w:ascii="Trebuchet MS" w:hAnsi="Trebuchet MS"/>
                <w:sz w:val="28"/>
                <w:szCs w:val="28"/>
              </w:rPr>
              <w:t>.000,00</w:t>
            </w:r>
          </w:p>
        </w:tc>
      </w:tr>
      <w:tr w:rsidR="001B60B9" w14:paraId="3B5E9CD6" w14:textId="77777777" w:rsidTr="000F1E42">
        <w:trPr>
          <w:jc w:val="center"/>
        </w:trPr>
        <w:tc>
          <w:tcPr>
            <w:tcW w:w="3969" w:type="dxa"/>
          </w:tcPr>
          <w:p w14:paraId="5B82525F" w14:textId="484C372E" w:rsidR="001B60B9" w:rsidRDefault="001B60B9" w:rsidP="000F1E4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3090.33.02</w:t>
            </w:r>
          </w:p>
        </w:tc>
        <w:tc>
          <w:tcPr>
            <w:tcW w:w="3289" w:type="dxa"/>
            <w:vAlign w:val="center"/>
          </w:tcPr>
          <w:p w14:paraId="319EFD0D" w14:textId="45CD5BBC" w:rsidR="001B60B9" w:rsidRPr="00D14695" w:rsidRDefault="001B60B9" w:rsidP="00D14695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R$ 10.000,00</w:t>
            </w:r>
          </w:p>
        </w:tc>
      </w:tr>
      <w:tr w:rsidR="00EC077E" w14:paraId="59D3A8FE" w14:textId="77777777" w:rsidTr="000F1E42">
        <w:trPr>
          <w:jc w:val="center"/>
        </w:trPr>
        <w:tc>
          <w:tcPr>
            <w:tcW w:w="3969" w:type="dxa"/>
          </w:tcPr>
          <w:p w14:paraId="39A7F062" w14:textId="77777777" w:rsidR="00EC077E" w:rsidRDefault="00EC077E" w:rsidP="000F1E4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3390.36</w:t>
            </w:r>
          </w:p>
        </w:tc>
        <w:tc>
          <w:tcPr>
            <w:tcW w:w="3289" w:type="dxa"/>
            <w:vAlign w:val="center"/>
          </w:tcPr>
          <w:p w14:paraId="7ABDAE46" w14:textId="7963FCA4" w:rsidR="00EC077E" w:rsidRDefault="00D14695" w:rsidP="000F1E42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R$ 5.000,00</w:t>
            </w:r>
          </w:p>
        </w:tc>
      </w:tr>
      <w:tr w:rsidR="00EC077E" w14:paraId="3C1E3ADD" w14:textId="77777777" w:rsidTr="000F1E42">
        <w:trPr>
          <w:jc w:val="center"/>
        </w:trPr>
        <w:tc>
          <w:tcPr>
            <w:tcW w:w="3969" w:type="dxa"/>
          </w:tcPr>
          <w:p w14:paraId="2806F1F7" w14:textId="0BE02781" w:rsidR="00EC077E" w:rsidRDefault="00EC077E" w:rsidP="000F1E4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14:paraId="2D7D5478" w14:textId="77777777" w:rsidR="00EC077E" w:rsidRDefault="00EC077E" w:rsidP="000F1E42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C077E" w14:paraId="6180E01D" w14:textId="77777777" w:rsidTr="000F1E42">
        <w:trPr>
          <w:jc w:val="center"/>
        </w:trPr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EC4FDC2" w14:textId="77777777" w:rsidR="00EC077E" w:rsidRPr="008E3321" w:rsidRDefault="00EC077E" w:rsidP="000F1E42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E3321">
              <w:rPr>
                <w:rFonts w:ascii="Trebuchet MS" w:hAnsi="Trebuchet MS"/>
                <w:b/>
                <w:sz w:val="24"/>
                <w:szCs w:val="24"/>
              </w:rPr>
              <w:t>TOTAL (R$):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14:paraId="1647F4A3" w14:textId="77777777" w:rsidR="00EC077E" w:rsidRDefault="00EC077E" w:rsidP="000F1E42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A90A9E7" w14:textId="1AD2FB55" w:rsidR="00EC077E" w:rsidRDefault="00EC077E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009B76" w14:textId="77777777" w:rsidR="00EC077E" w:rsidRDefault="00EC077E" w:rsidP="0032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5E3A3D" w14:textId="54ACE76A" w:rsidR="00322F33" w:rsidRPr="00A03EFE" w:rsidRDefault="00322F33" w:rsidP="00A0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DB3AB1" w14:textId="77777777" w:rsidR="00322F33" w:rsidRPr="00A03EFE" w:rsidRDefault="00322F33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3390.14.14 - Diárias Nacionais (Servidores da UFPE, Servidores Convidados e Servidores de Outra Esfera ou Poder)</w:t>
      </w:r>
    </w:p>
    <w:p w14:paraId="0836B570" w14:textId="47016B37" w:rsidR="00322F33" w:rsidRPr="00A03EFE" w:rsidRDefault="00322F33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>Total previsto a ser destinado ao custeio de Diárias Nacionais de Servidores da UFPE (vinculados ao PPG), Servidores Convidados e Servidores de Outra Esfera ou Poder. –</w:t>
      </w:r>
    </w:p>
    <w:p w14:paraId="1C7AF6F9" w14:textId="77777777" w:rsidR="001C2686" w:rsidRPr="00A03EFE" w:rsidRDefault="001C2686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77A65D" w14:textId="77777777" w:rsidR="00322F33" w:rsidRPr="00A03EFE" w:rsidRDefault="00322F33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3390.14.16 - Diárias Internacionais (Servidores da UFPE)</w:t>
      </w:r>
    </w:p>
    <w:p w14:paraId="46362FE7" w14:textId="06110CA3" w:rsidR="00322F33" w:rsidRPr="00A03EFE" w:rsidRDefault="00322F33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>Total previsto a ser destinado ao custeio de Diárias Internacionais para Servidores da UFPE (Docentes Efetivos vinculados ao PPG)</w:t>
      </w:r>
      <w:r w:rsidR="00185D14"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 xml:space="preserve"> – </w:t>
      </w:r>
    </w:p>
    <w:p w14:paraId="27D87CE6" w14:textId="77777777" w:rsidR="00322F33" w:rsidRPr="00A03EFE" w:rsidRDefault="00322F33" w:rsidP="00A03E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3C3E13" w14:textId="77777777" w:rsidR="00322F33" w:rsidRPr="00A03EFE" w:rsidRDefault="00322F33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3390.18 - Auxílio Financeiro a Alunos</w:t>
      </w:r>
    </w:p>
    <w:p w14:paraId="7E280C95" w14:textId="2EEDC850" w:rsidR="00322F33" w:rsidRPr="001B60B9" w:rsidRDefault="00322F33" w:rsidP="001B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>Total previsto a ser destinado ao custeio de Auxílio Financeiro a Alunos vinculados ao Programa de Pós-Graduação para realização/desenvolvimento de atividades científico-acadêmicas no país e no exterior.</w:t>
      </w:r>
      <w:r w:rsidR="00185D14"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 xml:space="preserve"> – </w:t>
      </w:r>
    </w:p>
    <w:p w14:paraId="18EAFDE5" w14:textId="77777777" w:rsidR="001B78B8" w:rsidRPr="00A03EFE" w:rsidRDefault="001B78B8" w:rsidP="001B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1AFA1C" w14:textId="77777777" w:rsidR="001B78B8" w:rsidRPr="00A03EFE" w:rsidRDefault="001B78B8" w:rsidP="001B7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3390.20 - Auxílio Financeiro ao Pesquisador (Edital Geral PROPG)</w:t>
      </w:r>
    </w:p>
    <w:p w14:paraId="47F9B553" w14:textId="77777777" w:rsidR="001B78B8" w:rsidRPr="00A03EFE" w:rsidRDefault="001B78B8" w:rsidP="001B7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 xml:space="preserve">Total previsto a ser destinado para o Edital Geral da PROPG – </w:t>
      </w:r>
    </w:p>
    <w:p w14:paraId="4AC8B653" w14:textId="77777777" w:rsidR="001B78B8" w:rsidRPr="00A03EFE" w:rsidRDefault="001B78B8" w:rsidP="00A0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31768C" w14:textId="77777777" w:rsidR="00322F33" w:rsidRPr="00A03EFE" w:rsidRDefault="00322F33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3390.33.01 - Passagens Aéreas Nacionais</w:t>
      </w:r>
    </w:p>
    <w:p w14:paraId="529DA7D5" w14:textId="58167E67" w:rsidR="00322F33" w:rsidRPr="00A03EFE" w:rsidRDefault="00322F33" w:rsidP="00A03E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 xml:space="preserve">Total previsto a ser destinado para aquisição de Passagens Aéreas Nacionais para Docentes e Alunos vinculados aos </w:t>
      </w:r>
      <w:proofErr w:type="spellStart"/>
      <w:r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>PPG's</w:t>
      </w:r>
      <w:proofErr w:type="spellEnd"/>
      <w:r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>, bem como Convidados Externos</w:t>
      </w:r>
      <w:r w:rsidR="00185D14" w:rsidRPr="00A03EFE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pt-BR"/>
        </w:rPr>
        <w:t xml:space="preserve"> – </w:t>
      </w:r>
    </w:p>
    <w:p w14:paraId="0A26F0E4" w14:textId="77777777" w:rsidR="001B78B8" w:rsidRDefault="001B78B8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F46989C" w14:textId="36021D33" w:rsidR="00A03EFE" w:rsidRPr="00A03EFE" w:rsidRDefault="00A03EFE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3390.33.02 - Passagens Aéreas Internacionais</w:t>
      </w:r>
    </w:p>
    <w:p w14:paraId="02598C4A" w14:textId="08BF88C3" w:rsidR="00A03EFE" w:rsidRPr="00A03EFE" w:rsidRDefault="00A03EFE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Total Previsto a ser destinado para aquisições de Passagens Aéreas Internacionais para Docentes Efetivos da UFPE e Alunos, ambos vinculados aos </w:t>
      </w:r>
      <w:proofErr w:type="spellStart"/>
      <w:r w:rsidRPr="00A03EF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PPG's</w:t>
      </w:r>
      <w:proofErr w:type="spellEnd"/>
      <w:r w:rsidRPr="00A03EF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 Estrangeiros convidados.</w:t>
      </w:r>
    </w:p>
    <w:p w14:paraId="36EE65B3" w14:textId="77777777" w:rsidR="00A03EFE" w:rsidRPr="00A03EFE" w:rsidRDefault="00A03EFE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067B0D9" w14:textId="77777777" w:rsidR="00A03EFE" w:rsidRPr="00A03EFE" w:rsidRDefault="00A03EFE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3390.36 - Diárias Nacionais a Colaboradores Eventuais</w:t>
      </w:r>
    </w:p>
    <w:p w14:paraId="64F856FD" w14:textId="77777777" w:rsidR="00A03EFE" w:rsidRPr="00A03EFE" w:rsidRDefault="00A03EFE" w:rsidP="00A03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03EF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Total previsto a ser destinado ao pagamento de Diárias aos Colaboradores Eventuais (pessoas sem vínculo com a Administração pública Federal, Estadual e Municipal, bem como Docentes Aposentados e funcionários da iniciativa privada), e Estrangeiros convidado</w:t>
      </w:r>
    </w:p>
    <w:p w14:paraId="71FC188C" w14:textId="77777777" w:rsidR="00A03EFE" w:rsidRPr="001B60B9" w:rsidRDefault="00A03EFE" w:rsidP="001B78B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934A2F" w14:textId="1391B1DD" w:rsidR="00D14695" w:rsidRPr="001B60B9" w:rsidRDefault="00D14695" w:rsidP="001B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704153" w14:textId="3ECEB11D" w:rsidR="00D14695" w:rsidRPr="001B60B9" w:rsidRDefault="00D14695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utilização da verba, a pessoa requerente deverá apresentar </w:t>
      </w:r>
      <w:r w:rsidR="00186901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documentos comprobatórios da participação, bem como </w:t>
      </w: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relatório detalhado a fim de instruir o relatório sucupira, constando </w:t>
      </w:r>
      <w:r w:rsidR="00186901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período, nome do evento, título d</w:t>
      </w: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a atividade, o trabalho defendido e/ou apresentado e entregar os tickets de embarque</w:t>
      </w:r>
      <w:r w:rsidR="006E653E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viagem aérea ou terrestre</w:t>
      </w: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E214C70" w14:textId="5E7E61E4" w:rsidR="00746B16" w:rsidRPr="001B60B9" w:rsidRDefault="00746B16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7E55C0" w14:textId="37F930ED" w:rsidR="00746B16" w:rsidRPr="001B60B9" w:rsidRDefault="00746B16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fazer o pedido é necessário apresentar a inscrição no evento, </w:t>
      </w:r>
      <w:proofErr w:type="spellStart"/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paper</w:t>
      </w:r>
      <w:proofErr w:type="spellEnd"/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apresentado, convite formal da instituição</w:t>
      </w:r>
      <w:r w:rsidR="00186901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DD6CACA" w14:textId="642E874A" w:rsidR="00186901" w:rsidRPr="001B60B9" w:rsidRDefault="00186901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090EE7" w14:textId="06C74FB5" w:rsidR="00186901" w:rsidRPr="001B60B9" w:rsidRDefault="00186901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priorizados pedidos que </w:t>
      </w:r>
      <w:r w:rsidR="001C2686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representem a </w:t>
      </w: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consolid</w:t>
      </w:r>
      <w:r w:rsidR="001C2686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do GP em</w:t>
      </w: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redes de pesquisas nacionais e/ou internacionais e suas atividades, como convém a um programa de pós-graduação.</w:t>
      </w:r>
    </w:p>
    <w:p w14:paraId="57611505" w14:textId="506893F7" w:rsidR="00D14695" w:rsidRPr="001B60B9" w:rsidRDefault="00D14695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0151E8" w14:textId="4F0D6934" w:rsidR="00FC65A2" w:rsidRPr="001B60B9" w:rsidRDefault="00FC65A2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melhor organização da coordenação do PPG, os pedidos poderão ser solicitados até o dia 15 de cada mês </w:t>
      </w:r>
      <w:r w:rsidR="00552AF8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D902A7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obedecendo a </w:t>
      </w:r>
      <w:proofErr w:type="gramStart"/>
      <w:r w:rsidR="00552AF8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disponibilização </w:t>
      </w:r>
      <w:r w:rsidR="00D902A7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orçamentária</w:t>
      </w:r>
      <w:proofErr w:type="gramEnd"/>
      <w:r w:rsidR="00D902A7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mês de agosto</w:t>
      </w:r>
      <w:r w:rsidR="00D902A7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02A7" w:rsidRPr="001B60B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vez que os empenhos somente poderão ser emitidos até 30 de setembro, por determinação legal.</w:t>
      </w:r>
    </w:p>
    <w:p w14:paraId="5089D44B" w14:textId="52A22A5F" w:rsidR="00A03EFE" w:rsidRPr="001B60B9" w:rsidRDefault="00A03EFE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405248" w14:textId="77777777" w:rsidR="00A03EFE" w:rsidRPr="00322F33" w:rsidRDefault="00A03EFE" w:rsidP="006E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013B50D" w14:textId="77777777" w:rsidR="00D902A7" w:rsidRPr="00322F33" w:rsidRDefault="00D9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sectPr w:rsidR="00D902A7" w:rsidRPr="00322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33"/>
    <w:rsid w:val="001242F4"/>
    <w:rsid w:val="00185D14"/>
    <w:rsid w:val="00186901"/>
    <w:rsid w:val="001B60B9"/>
    <w:rsid w:val="001B78B8"/>
    <w:rsid w:val="001C2686"/>
    <w:rsid w:val="002F19AC"/>
    <w:rsid w:val="00322F33"/>
    <w:rsid w:val="00552AF8"/>
    <w:rsid w:val="00567C2B"/>
    <w:rsid w:val="00645EE8"/>
    <w:rsid w:val="006E653E"/>
    <w:rsid w:val="006F252E"/>
    <w:rsid w:val="00746B16"/>
    <w:rsid w:val="0076385D"/>
    <w:rsid w:val="008D7127"/>
    <w:rsid w:val="00A03EFE"/>
    <w:rsid w:val="00A17F4B"/>
    <w:rsid w:val="00C92DF7"/>
    <w:rsid w:val="00CD1497"/>
    <w:rsid w:val="00CF36B2"/>
    <w:rsid w:val="00D14695"/>
    <w:rsid w:val="00D902A7"/>
    <w:rsid w:val="00EC077E"/>
    <w:rsid w:val="00F2296D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A4B0"/>
  <w15:chartTrackingRefBased/>
  <w15:docId w15:val="{F671740C-27AB-4990-9760-550914C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 E</dc:creator>
  <cp:keywords/>
  <dc:description/>
  <cp:lastModifiedBy>Mariana Pimentel</cp:lastModifiedBy>
  <cp:revision>6</cp:revision>
  <dcterms:created xsi:type="dcterms:W3CDTF">2022-05-24T00:47:00Z</dcterms:created>
  <dcterms:modified xsi:type="dcterms:W3CDTF">2022-05-26T14:42:00Z</dcterms:modified>
</cp:coreProperties>
</file>